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50</w:t>
      </w:r>
    </w:p>
    <w:p>
      <w:r>
        <w:t>Bundesgericht (BGE), 2009-05-12, DE</w:t>
      </w:r>
    </w:p>
    <w:p>
      <w:r>
        <w:rPr>
          <w:b/>
        </w:rPr>
        <w:t xml:space="preserve">Quelle: </w:t>
      </w:r>
      <w:r>
        <w:t>https://mcp.opencaselaw.ch/entscheid/bge_140 I 50</w:t>
      </w:r>
    </w:p>
    <w:p>
      <w:r>
        <w:t>FR: ATF 140 I 50</w:t>
      </w:r>
    </w:p>
    <w:p>
      <w:r>
        <w:t>IT: DTF 140 I 50</w:t>
      </w:r>
    </w:p>
    <w:p>
      <w:pPr>
        <w:pStyle w:val="Heading2"/>
      </w:pPr>
      <w:r>
        <w:t>Regeste</w:t>
      </w:r>
    </w:p>
    <w:p>
      <w:r>
        <w:t>Regeste Art. 29 Abs. 2 BV; Art. 34a Abs. 1 BVG; Art. 24 Abs. 2 Satz 2 BVV 2 (in der seit 1. Januar 2005 geltenden Fassung); Ermittlung des anrechenbaren Einkommens. Zu den Modalitäten der Gewährung des rechtlichen Gehörs mit Bezug auf persönliche Umstände und die tatsächliche Lage auf dem im Einzelfall relevanten Arbeitsmarkt gemäss BGE 134 V 64 E. 4.2.1 S. 70 f. (E. 4).</w:t>
      </w:r>
    </w:p>
    <w:p>
      <w:pPr>
        <w:pStyle w:val="Heading2"/>
      </w:pPr>
      <w:r>
        <w:t>Erwägungen</w:t>
      </w:r>
    </w:p>
    <w:p>
      <w:r>
        <w:rPr>
          <w:b/>
        </w:rPr>
        <w:t>E. 3.1</w:t>
      </w:r>
    </w:p>
    <w:p>
      <w:r>
        <w:t>Nach Art. 34a Abs. 1 BVG erlässt der Bundesrat Vorschriften zur Verhinderung ungerechtfertigter Vorteile des Versicherten beim Zusammentreffen mehrerer Leistungen. Gestützt darauf ist in Art. 24 Abs. 1 der Verordnung vom 18. April 1984 über die berufliche Alters-, Hinterlassenen- und Invalidenvorsorge (BVV 2; SR 831.441.1) geregelt, dass die Vorsorgeeinrichtung die Invalidenleistungen kürzen kann, soweit sie zusammen mit anderen anrechenbaren Einkünften 90 Prozent des mutmasslich entgangenen Verdienstes übersteigen. Bezügern von Invalidenleistungen wird das weiterhin erzielte oder zumutbarerweise noch erzielbare Erwerbs- oder Ersatzeinkommen angerechnet ( Art. 24 Abs. 2 Satz 2 BVV 2 in der seit 1. Januar 2005 geltenden Fassung [ab 1. Januar 2012 eingefügte Ergänzung hier nicht relevant]).</w:t>
      </w:r>
    </w:p>
    <w:p>
      <w:r>
        <w:rPr>
          <w:b/>
        </w:rPr>
        <w:t>E. 3.2.1</w:t>
      </w:r>
    </w:p>
    <w:p>
      <w:r>
        <w:t>Gemäss BGE 134 V 64 E. 4.2.1 S. 70 f. basiert das zumutbarerweise erzielbare Erwerbseinkommen im Sinne von Art. 24 Abs. 2 Satz 2 BVV 2 - insofern abweichend vom Invalidenversicherungsrecht mit der Beurteilungsgrundlage des ausgeglichenen Arbeitsmarktes - allein auf dem Zumutbarkeitsgrundsatz (zum genannten Urteil siehe auch: HANS-ULRICH STAUFFER, Berufliche Vorsorge, 2. Aufl. 2012, S. 380 f. Rz. 1036-1038; STAUFFER/MOSER, Berufliche Vorsorge; Überentschädigungskürzung; Anrechnung des zumutbarerweise erzielbaren Einkommens, AJP 2008 S. 619 f., insbes. S. 621; SCHMID/WÜRMLI, Das mutmassliche Erwerbseinkommen nach Art. 24 BVV 2 , AJP 2008 S. 719 f., insbes. S. 722; zur Thematik: MARC HÜRZELER, Die Invaliditätsbemessung in der Invalidenversicherung und der beruflichen Vorsorge, in: Personen-Schaden-Forum 2008, S. 217 f.; MOSER/STAUFFER, Die Überentschädigungskürzung berufsvorsorgerechtlicher Leistungen im Lichte der Rechtsprechung, SZS 2008 S. 91 f.; UELI KIESER, Zumutbares Resterwerbseinkommen in der beruflichen Vorsorge, AJP 2005 S. 226 f.). Nach E. 4.2.1 (letzter Absatz) dieses Entscheides verlangt der Zumutbarkeitsgrundsatz bezogen auf das noch erzielbare Erwerbseinkommen, dass die Vorsorgeeinrichtung, welche eine Kürzung ihrer obligatorischen Invalidenleistungen beabsichtigt, dem teilinvaliden Versicherten vorgängig das rechtliche Gehör hinsichtlich jener arbeitsmarktbezogenen und persönlichen Umstände gewähren muss, BGE 140 I 50 S. 53 die ihm die Erzielung eines Resterwerbseinkommens in der Höhe des Invalideneinkommens erschweren oder verunmöglichen. Solche subjektiven Gegebenheiten, denen unter Zumutbarkeitsgesichtspunkten Rechnung zu tragen ist, sind alle Umstände, welche - im Rahmen einer objektivierenden Prüfung - für die effektiven Chancen des betreffenden Versicherten, auf dem jeweiligen tatsächlichen Arbeitsmarkt eine geeignete und zumutbare Arbeitsstelle zu finden, von wesentlicher Bedeutung sind.</w:t>
      </w:r>
    </w:p>
    <w:p>
      <w:r>
        <w:rPr>
          <w:b/>
        </w:rPr>
        <w:t>E. 3.2.2</w:t>
      </w:r>
    </w:p>
    <w:p>
      <w:r>
        <w:t>Verfahrensrechtlich steht gemäss E. 4.2.2 S. 71 f. des erwähnten Urteils dem Recht der versicherten Person, mit subjektiven Gegebenheiten und tatsächlichen Arbeitsmarktchancen gehört zu werden, welche die Erzielung eines dem Invalideneinkommen quantitativ entsprechenden Resterwerbseinkommens erschweren oder verunmöglichen, eine diesbezügliche Mitwirkungspflicht gegenüber. Die versicherte Person hat die im konkreten Einzelfall massgebenden persönlichen Umstände und tatsächlichen Arbeitsmarktchancen, welche der Erzielung eines mit dem Invalideneinkommen äquivalenten Resterwerbseinkommens entgegenstehen, im Überentschädigungsverfahren zu behaupten, zu substanziieren und hiefür soweit möglich Beweise anzubieten, namentlich durch den Nachweis erfolglos gebliebener Stellenbemühungen. Dies führt zu einer Umkehr der Beweislast.</w:t>
      </w:r>
    </w:p>
    <w:p>
      <w:r>
        <w:rPr>
          <w:b/>
        </w:rPr>
        <w:t>E. 3.2.3</w:t>
      </w:r>
    </w:p>
    <w:p>
      <w:r>
        <w:t>Somit darf nach BGE 134 V 64 E. 4.3 S. 72 die Vorsorgeeinrichtung bei der Prüfung der Frage, ob und in welchem Umfang die Invalidenleistung aus der obligatorischen beruflichen Vorsorge für eine Teilinvalidität zu einer Überentschädigung führt, von der gesetzlichen Vermutung (aus Richterrecht [vgl. dazu SPÜHLER/DOLGE/GEHRI, Schweizerisches Zivilprozessrecht, 9. Aufl. 2010, 10. Kap., § 43 Rz. 58]) ausgehen, dass das zumutbarerweise noch erzielbare Erwerbseinkommen mit dem von der IV-Stelle ermittelten Invalideneinkommen übereinstimmt. Sie hat vorgängig der versicherten Person das Gehörsrecht mit Bezug auf persönliche Umstände und die tatsächliche Lage auf dem im Einzelfall relevanten Arbeitsmarkt zu gewähren. Die versicherte Person trifft dabei eine Mitwirkungspflicht im umschriebenen Rahmen.</w:t>
      </w:r>
    </w:p>
    <w:p>
      <w:r>
        <w:rPr>
          <w:b/>
        </w:rPr>
        <w:t>E. 4</w:t>
      </w:r>
    </w:p>
    <w:p>
      <w:r>
        <w:t>Vorab stellt sich die Frage, ob dem Beschwerdeführer im Zusammenhang mit der Überentschädigungsberechnung das rechtliche Gehör ( Art. 29 Abs. 2 BV ) hinreichend gewährt wurde. BGE 140 I 50 S. 54</w:t>
      </w:r>
    </w:p>
    <w:p>
      <w:r>
        <w:rPr>
          <w:b/>
        </w:rPr>
        <w:t>E. 4.1</w:t>
      </w:r>
    </w:p>
    <w:p>
      <w:r>
        <w:t>Im Lichte des in E. 3.2 Gesagten ist die koordinationsrechtliche Kürzung einer BVG-Invalidenrente nicht ein rein rechnerischer Entscheid. Vielmehr hat die Pensionskasse den Versicherten ins Verfahren einzubeziehen, d.h. zu prüfen, ob von den Kriterien der Invalidenversicherung abzuweichen ist, und einen eigenen Ermessensentscheid zu fällen (SCHMID/WÜRMLI, Das mutmassliche Erwerbseinkommen nach Art. 24 BVV 2 , AJP 2008 S. 724 vor Ziff. 4). Nachdem das Klageverfahren der ursprünglichen Verwaltungsrechtspflege, wie sie im Berufsvorsorgeprozess gemäss Art. 73 Abs. 1 BVG stattfindet, keine Verfügung zum Ausgangspunkt hat ( BGE 138 V 86 E. 5.2.3 S. 97; BGE 129 V 450 E. 2 S. 452) und das Bundesrecht zum dargelegten Vorgehen bei der Überversicherungsberechnung nichts Weiteres vorschreibt - das Bundesgesetz über den Allgemeinen Teil des Sozialversicherungsrechts (ATSG) erfasst die berufliche Vorsorge grundsätzlich nicht -, liegen Form und Modalität des Einbezugs der versicherten Person im Rahmen der verfassungsmässigen Schranken im Ermessensbereich der Vorsorgeeinrichtung. Bei der Wahl ist den spezifischen Fallkonstellationen und der konkreten Interessenlage Rechnung zu tragen. Das Verhältnismässigkeitsprinzip gebietet, jene Lösung zu wählen, die nach den Umständen als angemessen erscheint (MICHELE ALBERTINI, Der verfassungsmässige Anspruch auf rechtliches Gehör im Verwaltungsverfahren des modernen Staates, 2000, S. 332). In jedem Fall darf die Gehörsgewährung nicht ihres Gehalts beraubt werden, weshalb es grundsätzlich mehr bedarf, als in einem blossen Schreiben die Kürzung mitzuteilen. Ihre hinreichende Umsetzung erfordert in der Regel eine ausdrückliche Einladung, sich zur Möglichkeit, ein Resterwerbseinkommen in der Höhe des Invalideneinkommens effektiv erzielen zu können, zu äussern, wobei es der Vorsorgeeinrichtung freisteht - es sich der Klarheit halber und mit Blick auf eine beförderliche Erledigung aber empfiehlt -, eine angemessene Einwendungsfrist einzuräumen. Jedenfalls genügt die Gewährung einer Äusserungsgelegenheit; die Pensionskasse ist nicht verpflichtet, die tatsächliche Ausübung des Einwendungsrechts herbeizuführen. Umstände, die sich aus den Akten ergeben, hat sie aber - in Nachachtung des Verbots des überspitzten Formalismus ( Art. 29 Abs. 1 BV ) - von sich aus zu berücksichtigen.</w:t>
      </w:r>
    </w:p>
    <w:p>
      <w:r>
        <w:rPr>
          <w:b/>
        </w:rPr>
        <w:t>E. 4.2</w:t>
      </w:r>
    </w:p>
    <w:p>
      <w:r>
        <w:t>Die IV-Stelle Bern sprach dem Beschwerdeführer mit Verfügung vom 12. Mai 2009 rückwirkend ab 1. Juli 2003 eine ganze Invalidenrente zu, und zwar bei einem Invaliditätsgrad von 68 % bzw. 70 % BGE 140 I 50 S. 55 (ab 1. Januar 2004). In der Folge wurde sein Arbeitsverhältnis mit der X. SA am 5. Juni 2009 mit sofortiger Wirkung aufgehoben. Im besagten Schreiben wurde auf Art. 13.4 des Personalhandbuchs verwiesen, wonach das Arbeitsverhältnis mit dem Erhalt einer ganzen IV-Rente der Invalidenversicherung ende. In der Austrittsmeldung zuhanden der Pensionskasse vom 5. Juni 2009 war entsprechend vermerkt, dass die Beendigung des Arbeitsverhältnisses aus gesundheitlichen Gründen erfolge. Von einer rechtsgenüglichen Gehörsgewährung kann in diesem Zusammenhang nicht gesprochen werden, zumal es um eine Angelegenheit zwischen Pensionskasse und Versichertem und nicht zwischen Arbeitgeber und Versichertem (Aufhebungsvertrag) bzw. Arbeitgeber und Pensionskasse (Austrittsmeldung) geht. Soweit die Vorinstanz gestützt auf letztere Mitteilung davon ausging, die Pensionskasse habe nicht ohne Weiteres annehmen müssen, dass der Beschwerdeführer, der zuvor 26 Jahre bei der X. SA angestellt gewesen sei, nun von einem Tag auf den anderen jegliche Erwerbstätigkeit eingestellt habe, so beschlägt dies den - hier (noch) nicht zur Diskussion stehenden - Zumutbarkeitsgesichtspunkt (nicht publ. E. 5).</w:t>
      </w:r>
    </w:p>
    <w:p>
      <w:r>
        <w:rPr>
          <w:b/>
        </w:rPr>
        <w:t>E. 4.3</w:t>
      </w:r>
    </w:p>
    <w:p>
      <w:r>
        <w:t>Auch die blosse Berechnung vom 3. Juli 2009, in welcher die Pensionskasse für die Zeit ab 6. Juni 2009 von einem möglichen Erwerbseinkommen ausging, das gemäss vorinstanzlicher Feststellung "nahezu dem zuvor bis 5. Juni 2009 erzielten Verdienst entsprach", lässt sich nicht als Aufforderung verstehen, sich zum aktuell anrechenbaren Erwerbseinkommen zu äussern (vgl. E. 4.1).</w:t>
      </w:r>
    </w:p>
    <w:p>
      <w:r>
        <w:rPr>
          <w:b/>
        </w:rPr>
        <w:t>E. 4.4</w:t>
      </w:r>
    </w:p>
    <w:p>
      <w:r>
        <w:t>Mit Schreiben vom 15. Dezember 2009 wies die Pensionskasse unter Nennung von E. 6 des Urteils 9C_347/2008 vom 21. Oktober 2008 auf die vom Bundesgericht geschaffene gesetzliche Vermutung hin, wonach das zumutbarerweise noch erzielbare Erwerbseinkommen mit dem von der IV-Stelle ermittelten Invalideneinkommen übereinstimmt (vgl. E. 3.2.3). Gleichzeitig hielt sie fest, der Versicherte habe die Möglichkeit, sich bei der Arbeitslosenversicherung anzumelden und könne damit zeigen, dass er versuche, eine Anstellung zu finden, um die Resterwerbsfähigkeit zu verwerten. Diesfalls werde sie nicht mehr das mögliche Erwerbseinkommen anrechnen, sondern die tatsächlich bezogenen Arbeitslosengelder. Diesem Schreiben, das an den (damaligen) Rechtsvertreter des Beschwerdeführers gerichtet ist, ging ein solches von dessen Seite vom 15. Oktober 2009 voraus. Zwar wurde darin BGE 140 I 50 S. 56 ausschliesslich die Behandlung des Vorbezugs kritisiert, wie die Vorinstanz festgestellt hat (vgl. Art. 105 Abs. 1 BGG ). Dessen ungeachtet hielt der Rechtsvertreter im Kontext mit der von ihm vertretenen Berechnungsweise fest, dass sich die Frage nach der Überversicherung durch den Wegfall des Erwerbseinkommens mit dem Austritt des Versicherten per 5. Juni 2009 nicht mehr stelle. Indem die Pensionskasse in ihrer Antwort vom 15. Dezember 2009 von der fraglichen Anrechnung nicht Abstand genommen, sondern die erwähnte Vermutungsbasis explizit unterstrichen hat, wie sie sich auch aus E. 6.2 des im Schreiben zitierten Urteils ergibt, war für den beschwerdeführerischen Anwalt das Einwendungsrecht erkennbar oder er hätte es bei gebührender Aufmerksamkeit erkennen müssen. Es findet ebenfalls in E. 6.2 des Urteils 9C_347/2008 Erwähnung. Selbst wenn dessen Konsultierung nicht erwartet werden darf, was hier offengelassen werden kann, muss ein Anwalt - in Konkretisierung des allgemeinen Grundsatzes von Art. 8 ZGB , der auch im öffentlichen Recht gilt ( BGE 138 II 465 E. 6.8.2 S. 486; BGE 138 V 218 E. 6 S. 222) - wissen, dass eine gesetzliche Vermutung der Widerlegung zugänglich ist. Eines ausdrücklichen Hinweises auf das Einwendungsrecht bedurfte es unter diesen Umständen nicht (ALBERTINI, a.a.O., S. 334). Es trifft nicht zu, dass der Anwalt des Beschwerdeführers dadurch zum "Informationsbeauftragen" oder "Erfüllungsträger" der Pensionskasse mutierte. Vielmehr dürfen die Anforderungen an die Gehörsgewährung geringer gehalten werden, wenn die Parteien durch einen Anwalt vertreten sind.</w:t>
      </w:r>
    </w:p>
    <w:p>
      <w:r>
        <w:rPr>
          <w:b/>
        </w:rPr>
        <w:t>E. 4.5</w:t>
      </w:r>
    </w:p>
    <w:p>
      <w:r>
        <w:t>Soweit der Beschwerdeführer vorbringt, selbst die Vorinstanz habe der Pensionskasse eine unklare Ausdrucksweise vorgeworfen, so übersieht er, dass sich diese Erwägung auf die reglementarische resp. überobligatorische Berechnungsweise bezieht. Demgegenüber steht hier ein Aspekt der BVG-Regelung im Zentrum. Das rechtliche Gehör muss in zeitlicher Hinsicht nicht vorgängig - vor dem Zeitpunkt der Anrechnung - gewährt werden. Eine Rentenkürzung wegen Überentschädigung kann ohne Weiteres auch für den Zeitraum vor der erstmaligen Einräumung des Gehörsrechts erfolgen. Die weitergehende Funktion einer Voranzeige in dem Sinne, dass erst mit Wirkung für die Zukunft gekürzt werden dürfte, ist der nach der Rechtsprechung erforderlichen Einräumung des rechtlichen Gehörs jedenfalls nicht beizumessen (SVR 2010 BVG Nr. 45 S. 171, 9C_592/2009 E. 3.3). BGE 140 I 50 S. 57 Wenn auch das Schreiben vom 15. Dezember 2009 in französischer Sprache abgefasst ist, obwohl der Beschwerdeführer deutscher Muttersprache ist und auch die übrige Korrespondenz in Deutsch erfolgte, darf nicht ausser Acht gelassen werden, dass die Pensionskasse, die ihren Sitz im französischsprachigen Raum hat, nicht nur Arbeitnehmer in der Deutschschweiz, sondern auch in der Romandie versichert. Im Kanton Solothurn ist zwar Deutsch Amtssprache. Diese ist jedoch allein im Behördenverkehr massgeblich, während die Leistungserbringung im nichtstreitigen Verfahren grundsätzlich nach privatrechtlichen Grundsätzen ausgestaltet ist (vgl. E. 4.1). Dessen ungeachtet durfte der Beschwerdeführer nach Treu und Glauben nicht über zwei Jahre zuwarten, bis er erstmals (vor dem kantonalen Gericht) geltend machte, das in französischer Sprache verfasste Schreiben nicht verstanden zu haben. Der vorinstanzliche Verzicht auf die Abnahme verschiedener Beweise, welche die Annahme entkräftigen sollten, dass jeder Solothurner und jede Solothurnerin Französisch verstehe, ist demnach nicht zu beanstanden.</w:t>
      </w:r>
    </w:p>
    <w:p>
      <w:r>
        <w:rPr>
          <w:b/>
        </w:rPr>
        <w:t>E. 4.6</w:t>
      </w:r>
    </w:p>
    <w:p>
      <w:r>
        <w:t>Nach dem Gesagten steht fest, dass die Pensionskasse dem anwaltlich vertretenen Beschwerdeführer in hinreichender Weise das rechtliche Gehör gewährt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